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DCD" w:rsidRDefault="00ED62A4" w:rsidP="00640DC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Escenarios</w:t>
      </w:r>
      <w:r w:rsidR="00253ECF" w:rsidRPr="00640DCD">
        <w:rPr>
          <w:b/>
          <w:sz w:val="32"/>
          <w:szCs w:val="32"/>
        </w:rPr>
        <w:t xml:space="preserve"> de implementación UR</w:t>
      </w:r>
      <w:r w:rsidR="00640DCD">
        <w:rPr>
          <w:b/>
          <w:sz w:val="32"/>
          <w:szCs w:val="32"/>
        </w:rPr>
        <w:t>A</w:t>
      </w:r>
      <w:r w:rsidR="00253ECF" w:rsidRPr="00640DCD">
        <w:rPr>
          <w:b/>
          <w:sz w:val="32"/>
          <w:szCs w:val="32"/>
        </w:rPr>
        <w:t xml:space="preserve">4 </w:t>
      </w:r>
    </w:p>
    <w:p w:rsidR="00060042" w:rsidRPr="00640DCD" w:rsidRDefault="00640DCD" w:rsidP="00640DC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</w:t>
      </w:r>
      <w:r w:rsidR="00253ECF" w:rsidRPr="00640DCD">
        <w:rPr>
          <w:b/>
          <w:sz w:val="32"/>
          <w:szCs w:val="32"/>
        </w:rPr>
        <w:t>ecnología Euro Claus versus</w:t>
      </w:r>
      <w:r>
        <w:rPr>
          <w:b/>
          <w:sz w:val="32"/>
          <w:szCs w:val="32"/>
        </w:rPr>
        <w:t xml:space="preserve"> T</w:t>
      </w:r>
      <w:r w:rsidR="00253ECF" w:rsidRPr="00640DCD">
        <w:rPr>
          <w:b/>
          <w:sz w:val="32"/>
          <w:szCs w:val="32"/>
        </w:rPr>
        <w:t>ecnología WSA</w:t>
      </w:r>
    </w:p>
    <w:p w:rsidR="00253ECF" w:rsidRDefault="00253ECF"/>
    <w:p w:rsidR="00BB600D" w:rsidRDefault="00BB600D"/>
    <w:p w:rsidR="00253ECF" w:rsidRPr="00816427" w:rsidRDefault="009910F4" w:rsidP="00816427">
      <w:pPr>
        <w:pStyle w:val="Prrafodelista"/>
        <w:numPr>
          <w:ilvl w:val="0"/>
          <w:numId w:val="2"/>
        </w:numPr>
        <w:rPr>
          <w:b/>
          <w:sz w:val="24"/>
          <w:szCs w:val="24"/>
        </w:rPr>
      </w:pPr>
      <w:r w:rsidRPr="00816427">
        <w:rPr>
          <w:b/>
          <w:sz w:val="24"/>
          <w:szCs w:val="24"/>
        </w:rPr>
        <w:t>Objetivo</w:t>
      </w:r>
    </w:p>
    <w:p w:rsidR="00253ECF" w:rsidRPr="00640DCD" w:rsidRDefault="00816427" w:rsidP="00816427">
      <w:pPr>
        <w:jc w:val="both"/>
        <w:rPr>
          <w:sz w:val="24"/>
          <w:szCs w:val="24"/>
        </w:rPr>
      </w:pPr>
      <w:r>
        <w:rPr>
          <w:sz w:val="24"/>
          <w:szCs w:val="24"/>
        </w:rPr>
        <w:t>Dem</w:t>
      </w:r>
      <w:r w:rsidR="00253ECF" w:rsidRPr="00640DCD">
        <w:rPr>
          <w:sz w:val="24"/>
          <w:szCs w:val="24"/>
        </w:rPr>
        <w:t>ostrar que los tiempos de implementación de la URA 4 con tecnología Euro Claus versus URA 4 tecnología WSA</w:t>
      </w:r>
      <w:r w:rsidR="009910F4" w:rsidRPr="00640DCD">
        <w:rPr>
          <w:sz w:val="24"/>
          <w:szCs w:val="24"/>
        </w:rPr>
        <w:t>, favorecen</w:t>
      </w:r>
      <w:r w:rsidR="00901034" w:rsidRPr="00640DCD">
        <w:rPr>
          <w:sz w:val="24"/>
          <w:szCs w:val="24"/>
        </w:rPr>
        <w:t xml:space="preserve"> </w:t>
      </w:r>
      <w:r w:rsidR="00BF7455">
        <w:rPr>
          <w:sz w:val="24"/>
          <w:szCs w:val="24"/>
        </w:rPr>
        <w:t xml:space="preserve">definitivamente </w:t>
      </w:r>
      <w:r w:rsidR="00206F14" w:rsidRPr="00640DCD">
        <w:rPr>
          <w:sz w:val="24"/>
          <w:szCs w:val="24"/>
        </w:rPr>
        <w:t>la implementación</w:t>
      </w:r>
      <w:r w:rsidR="00901034" w:rsidRPr="00640DCD">
        <w:rPr>
          <w:sz w:val="24"/>
          <w:szCs w:val="24"/>
        </w:rPr>
        <w:t xml:space="preserve"> de esta última</w:t>
      </w:r>
      <w:r w:rsidR="00BF7455">
        <w:rPr>
          <w:sz w:val="24"/>
          <w:szCs w:val="24"/>
        </w:rPr>
        <w:t xml:space="preserve"> tecnología</w:t>
      </w:r>
      <w:r w:rsidR="00901034" w:rsidRPr="00640DCD">
        <w:rPr>
          <w:sz w:val="24"/>
          <w:szCs w:val="24"/>
        </w:rPr>
        <w:t>.</w:t>
      </w:r>
    </w:p>
    <w:p w:rsidR="00901034" w:rsidRPr="00640DCD" w:rsidRDefault="00901034">
      <w:pPr>
        <w:rPr>
          <w:sz w:val="24"/>
          <w:szCs w:val="24"/>
        </w:rPr>
      </w:pPr>
    </w:p>
    <w:p w:rsidR="00901034" w:rsidRPr="00816427" w:rsidRDefault="00901034" w:rsidP="00816427">
      <w:pPr>
        <w:pStyle w:val="Prrafodelista"/>
        <w:numPr>
          <w:ilvl w:val="0"/>
          <w:numId w:val="2"/>
        </w:numPr>
        <w:rPr>
          <w:b/>
          <w:sz w:val="24"/>
          <w:szCs w:val="24"/>
        </w:rPr>
      </w:pPr>
      <w:r w:rsidRPr="00816427">
        <w:rPr>
          <w:b/>
          <w:sz w:val="24"/>
          <w:szCs w:val="24"/>
        </w:rPr>
        <w:t>Antecedentes</w:t>
      </w:r>
    </w:p>
    <w:p w:rsidR="00901034" w:rsidRPr="00640DCD" w:rsidRDefault="006127B7" w:rsidP="00816427">
      <w:pPr>
        <w:jc w:val="both"/>
        <w:rPr>
          <w:sz w:val="24"/>
          <w:szCs w:val="24"/>
        </w:rPr>
      </w:pPr>
      <w:r w:rsidRPr="00640DCD">
        <w:rPr>
          <w:sz w:val="24"/>
          <w:szCs w:val="24"/>
        </w:rPr>
        <w:t xml:space="preserve">ERA cuenta con aprobación ambiental de la URA 4 con tecnología Euro </w:t>
      </w:r>
      <w:r w:rsidR="00C73ACF" w:rsidRPr="00640DCD">
        <w:rPr>
          <w:sz w:val="24"/>
          <w:szCs w:val="24"/>
        </w:rPr>
        <w:t>C</w:t>
      </w:r>
      <w:r w:rsidRPr="00640DCD">
        <w:rPr>
          <w:sz w:val="24"/>
          <w:szCs w:val="24"/>
        </w:rPr>
        <w:t xml:space="preserve">laus, según </w:t>
      </w:r>
      <w:r w:rsidR="00050BB6" w:rsidRPr="00640DCD">
        <w:rPr>
          <w:sz w:val="24"/>
          <w:szCs w:val="24"/>
        </w:rPr>
        <w:t>est</w:t>
      </w:r>
      <w:r w:rsidR="00050BB6">
        <w:rPr>
          <w:sz w:val="24"/>
          <w:szCs w:val="24"/>
        </w:rPr>
        <w:t>á</w:t>
      </w:r>
      <w:r w:rsidR="00050BB6" w:rsidRPr="00640DCD">
        <w:rPr>
          <w:sz w:val="24"/>
          <w:szCs w:val="24"/>
        </w:rPr>
        <w:t xml:space="preserve"> </w:t>
      </w:r>
      <w:r w:rsidRPr="00640DCD">
        <w:rPr>
          <w:sz w:val="24"/>
          <w:szCs w:val="24"/>
        </w:rPr>
        <w:t>establecido en la RCA 159/2003. La URA 4 Euro</w:t>
      </w:r>
      <w:r w:rsidR="00C73ACF" w:rsidRPr="00640DCD">
        <w:rPr>
          <w:sz w:val="24"/>
          <w:szCs w:val="24"/>
        </w:rPr>
        <w:t xml:space="preserve"> Claus, actualmente no cuenta con ingeniería Básica.</w:t>
      </w:r>
    </w:p>
    <w:p w:rsidR="00BB600D" w:rsidRPr="00640DCD" w:rsidRDefault="006127B7" w:rsidP="00816427">
      <w:pPr>
        <w:jc w:val="both"/>
        <w:rPr>
          <w:sz w:val="24"/>
          <w:szCs w:val="24"/>
        </w:rPr>
      </w:pPr>
      <w:r w:rsidRPr="00640DCD">
        <w:rPr>
          <w:sz w:val="24"/>
          <w:szCs w:val="24"/>
        </w:rPr>
        <w:t xml:space="preserve">ERA presentará y someterá al SEIA un cambio tecnológico en la URA4 incorporando la tecnología WSA, proyecto que actualmente </w:t>
      </w:r>
      <w:r w:rsidR="009910F4" w:rsidRPr="00640DCD">
        <w:rPr>
          <w:sz w:val="24"/>
          <w:szCs w:val="24"/>
        </w:rPr>
        <w:t>cuenta con</w:t>
      </w:r>
      <w:r w:rsidRPr="00640DCD">
        <w:rPr>
          <w:sz w:val="24"/>
          <w:szCs w:val="24"/>
        </w:rPr>
        <w:t xml:space="preserve"> </w:t>
      </w:r>
      <w:r w:rsidR="009910F4" w:rsidRPr="00640DCD">
        <w:rPr>
          <w:sz w:val="24"/>
          <w:szCs w:val="24"/>
        </w:rPr>
        <w:t>la etapa de Ingeniería Básica prácticamente cerrada</w:t>
      </w:r>
      <w:r w:rsidRPr="00640DCD">
        <w:rPr>
          <w:sz w:val="24"/>
          <w:szCs w:val="24"/>
        </w:rPr>
        <w:t>.</w:t>
      </w:r>
    </w:p>
    <w:p w:rsidR="009910F4" w:rsidRPr="00640DCD" w:rsidRDefault="009910F4">
      <w:pPr>
        <w:rPr>
          <w:sz w:val="24"/>
          <w:szCs w:val="24"/>
        </w:rPr>
      </w:pPr>
    </w:p>
    <w:p w:rsidR="009910F4" w:rsidRPr="00816427" w:rsidRDefault="009910F4" w:rsidP="00816427">
      <w:pPr>
        <w:pStyle w:val="Prrafodelista"/>
        <w:numPr>
          <w:ilvl w:val="0"/>
          <w:numId w:val="2"/>
        </w:numPr>
        <w:rPr>
          <w:b/>
          <w:sz w:val="24"/>
          <w:szCs w:val="24"/>
        </w:rPr>
      </w:pPr>
      <w:r w:rsidRPr="00816427">
        <w:rPr>
          <w:b/>
          <w:sz w:val="24"/>
          <w:szCs w:val="24"/>
        </w:rPr>
        <w:t>Desarrollo</w:t>
      </w:r>
    </w:p>
    <w:p w:rsidR="009910F4" w:rsidRDefault="009910F4" w:rsidP="00816427">
      <w:pPr>
        <w:jc w:val="both"/>
        <w:rPr>
          <w:sz w:val="24"/>
          <w:szCs w:val="24"/>
        </w:rPr>
      </w:pPr>
      <w:r w:rsidRPr="00640DCD">
        <w:rPr>
          <w:sz w:val="24"/>
          <w:szCs w:val="24"/>
        </w:rPr>
        <w:t>Se presentan tres escenarios de ingreso al SEIA para la URA 4. Dos de ellos hacen referencia a URA 4 con tecnología WSA (Carta de Pertinencia y DIA);</w:t>
      </w:r>
      <w:r w:rsidR="00640DCD" w:rsidRPr="00640DCD">
        <w:rPr>
          <w:sz w:val="24"/>
          <w:szCs w:val="24"/>
        </w:rPr>
        <w:t xml:space="preserve"> mientras que</w:t>
      </w:r>
      <w:r w:rsidRPr="00640DCD">
        <w:rPr>
          <w:sz w:val="24"/>
          <w:szCs w:val="24"/>
        </w:rPr>
        <w:t xml:space="preserve"> el tercer escenario se refiere a la URA 4 con tecnología Euro Claus</w:t>
      </w:r>
      <w:r w:rsidR="00F67019">
        <w:rPr>
          <w:sz w:val="24"/>
          <w:szCs w:val="24"/>
        </w:rPr>
        <w:t xml:space="preserve"> aprobada según RCA 159/2003</w:t>
      </w:r>
      <w:r w:rsidR="00816427">
        <w:rPr>
          <w:sz w:val="24"/>
          <w:szCs w:val="24"/>
        </w:rPr>
        <w:t>.</w:t>
      </w:r>
    </w:p>
    <w:p w:rsidR="00816427" w:rsidRDefault="00816427" w:rsidP="00BF7455">
      <w:pPr>
        <w:jc w:val="both"/>
        <w:rPr>
          <w:sz w:val="24"/>
          <w:szCs w:val="24"/>
        </w:rPr>
      </w:pPr>
      <w:r>
        <w:rPr>
          <w:sz w:val="24"/>
          <w:szCs w:val="24"/>
        </w:rPr>
        <w:t>El análisis de los escenarios presentados para la URA 4 con tecnología WSA, indican que</w:t>
      </w:r>
      <w:r w:rsidR="00F670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independientemente de la forma de ingreso a evaluación ambiental, el proyecto presenta una duración de </w:t>
      </w:r>
      <w:r w:rsidR="00F67019">
        <w:rPr>
          <w:sz w:val="24"/>
          <w:szCs w:val="24"/>
        </w:rPr>
        <w:t>49 meses</w:t>
      </w:r>
      <w:r w:rsidR="00050BB6">
        <w:rPr>
          <w:sz w:val="24"/>
          <w:szCs w:val="24"/>
        </w:rPr>
        <w:t>.</w:t>
      </w:r>
    </w:p>
    <w:p w:rsidR="00F67019" w:rsidRPr="00640DCD" w:rsidRDefault="00F67019" w:rsidP="00BF74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Respecto al proyecto URA 4 con tecnología Euro Claus, aprobado según RCA 159/2003, presenta una mayor extensión (duración) de plazos llegando a 51 meses. Adicionalmente, el proyecto al </w:t>
      </w:r>
      <w:r w:rsidR="00BF7455">
        <w:rPr>
          <w:sz w:val="24"/>
          <w:szCs w:val="24"/>
        </w:rPr>
        <w:t>no contar con Ingeniería Básica, presenta un desfase de 11 meses, la que contempla la Reformulación de la Ingeniería Básica, Licitación y Desarrollo de la Ingeniería.</w:t>
      </w:r>
    </w:p>
    <w:p w:rsidR="00640DCD" w:rsidRPr="00640DCD" w:rsidRDefault="00640DCD">
      <w:pPr>
        <w:rPr>
          <w:sz w:val="24"/>
          <w:szCs w:val="24"/>
        </w:rPr>
      </w:pPr>
    </w:p>
    <w:p w:rsidR="00640DCD" w:rsidRPr="00816427" w:rsidRDefault="00640DCD" w:rsidP="00BE7CEE">
      <w:pPr>
        <w:pStyle w:val="Prrafodelista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816427">
        <w:rPr>
          <w:b/>
          <w:sz w:val="24"/>
          <w:szCs w:val="24"/>
        </w:rPr>
        <w:t>Conclusión</w:t>
      </w:r>
    </w:p>
    <w:p w:rsidR="00640DCD" w:rsidRPr="00640DCD" w:rsidRDefault="00BF7455" w:rsidP="00BE7CEE">
      <w:pPr>
        <w:jc w:val="both"/>
        <w:rPr>
          <w:sz w:val="24"/>
          <w:szCs w:val="24"/>
        </w:rPr>
      </w:pPr>
      <w:r>
        <w:rPr>
          <w:sz w:val="24"/>
          <w:szCs w:val="24"/>
        </w:rPr>
        <w:t>Revisado los antecedentes, se concluye que la mejor opción desde el punto de vista de los plazos involucrados y con mejor horizonte para el  Programa de Cumplimiento, corresponde al desarrollo del proyecto URA 4 con tecnología WSA.</w:t>
      </w:r>
    </w:p>
    <w:p w:rsidR="00640DCD" w:rsidRPr="00640DCD" w:rsidRDefault="00640DCD" w:rsidP="00BE7CEE">
      <w:pPr>
        <w:jc w:val="both"/>
        <w:rPr>
          <w:sz w:val="24"/>
          <w:szCs w:val="24"/>
        </w:rPr>
      </w:pPr>
    </w:p>
    <w:p w:rsidR="00640DCD" w:rsidRPr="00640DCD" w:rsidRDefault="001C77D8" w:rsidP="00BE7CE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Información Complementaria</w:t>
      </w:r>
    </w:p>
    <w:p w:rsidR="00BE7CEE" w:rsidRDefault="001C77D8" w:rsidP="001C77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continuación se presenta </w:t>
      </w:r>
      <w:r w:rsidR="00640DCD" w:rsidRPr="001C77D8">
        <w:rPr>
          <w:sz w:val="24"/>
          <w:szCs w:val="24"/>
        </w:rPr>
        <w:t>“</w:t>
      </w:r>
      <w:r w:rsidR="00F67019" w:rsidRPr="001C77D8">
        <w:rPr>
          <w:sz w:val="24"/>
          <w:szCs w:val="24"/>
        </w:rPr>
        <w:t>Cronograma</w:t>
      </w:r>
      <w:r>
        <w:rPr>
          <w:sz w:val="24"/>
          <w:szCs w:val="24"/>
        </w:rPr>
        <w:t xml:space="preserve"> Alternativas URA4”. El </w:t>
      </w:r>
      <w:r w:rsidR="00BE7CEE">
        <w:rPr>
          <w:sz w:val="24"/>
          <w:szCs w:val="24"/>
        </w:rPr>
        <w:t>objetivo de presentar escenarios alternativos para la implementación de la URA 4 es mostrar gráficamente que la alternativa denominada URA4 WSA presenta una ingeniería básica muy avanzada que permitiría tener en operación 9 meses antes que la alternativa aprobada actualmente en la RCA 159/2003, denominada URA 4 Euro Claus.</w:t>
      </w:r>
    </w:p>
    <w:p w:rsidR="00BE7CEE" w:rsidRDefault="00BE7CEE" w:rsidP="00BE7CEE">
      <w:pPr>
        <w:pStyle w:val="Prrafodelista"/>
        <w:jc w:val="both"/>
        <w:rPr>
          <w:sz w:val="24"/>
          <w:szCs w:val="24"/>
        </w:rPr>
      </w:pPr>
    </w:p>
    <w:p w:rsidR="003B1E3E" w:rsidRDefault="003B1E3E" w:rsidP="001C77D8">
      <w:pPr>
        <w:pStyle w:val="Prrafodelista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El proyecto de la URA4 WSA es una modificación de una medida de mitigación establecida en la RCA 159/2003 e incorpora un estanque de almacenamiento de una sustancia corrosiva (H2SO4) de una capacidad superior a las 120 toneladas </w:t>
      </w:r>
      <w:r w:rsidR="00050BB6">
        <w:rPr>
          <w:sz w:val="24"/>
          <w:szCs w:val="24"/>
        </w:rPr>
        <w:t xml:space="preserve">que </w:t>
      </w:r>
      <w:r>
        <w:rPr>
          <w:sz w:val="24"/>
          <w:szCs w:val="24"/>
        </w:rPr>
        <w:t xml:space="preserve"> establece la letra ñ.4 del </w:t>
      </w:r>
      <w:r w:rsidR="00050BB6">
        <w:rPr>
          <w:sz w:val="24"/>
          <w:szCs w:val="24"/>
        </w:rPr>
        <w:t>a</w:t>
      </w:r>
      <w:r>
        <w:rPr>
          <w:sz w:val="24"/>
          <w:szCs w:val="24"/>
        </w:rPr>
        <w:t xml:space="preserve">rtículo </w:t>
      </w:r>
      <w:r w:rsidR="00050BB6">
        <w:rPr>
          <w:sz w:val="24"/>
          <w:szCs w:val="24"/>
        </w:rPr>
        <w:t xml:space="preserve">3 </w:t>
      </w:r>
      <w:r>
        <w:rPr>
          <w:sz w:val="24"/>
          <w:szCs w:val="24"/>
        </w:rPr>
        <w:t>del Reglamento del SEIA</w:t>
      </w:r>
      <w:r w:rsidR="00050BB6">
        <w:rPr>
          <w:sz w:val="24"/>
          <w:szCs w:val="24"/>
        </w:rPr>
        <w:t xml:space="preserve"> como causal de ingreso</w:t>
      </w:r>
      <w:r>
        <w:rPr>
          <w:sz w:val="24"/>
          <w:szCs w:val="24"/>
        </w:rPr>
        <w:t xml:space="preserve">. Por lo tanto corresponde a un cambio de consideración en los términos establecidos en los literales g.1 y g.4 del </w:t>
      </w:r>
      <w:r w:rsidR="00050BB6">
        <w:rPr>
          <w:sz w:val="24"/>
          <w:szCs w:val="24"/>
        </w:rPr>
        <w:t>a</w:t>
      </w:r>
      <w:r>
        <w:rPr>
          <w:sz w:val="24"/>
          <w:szCs w:val="24"/>
        </w:rPr>
        <w:t>rtículo 2 del Reglamento referido.</w:t>
      </w:r>
    </w:p>
    <w:p w:rsidR="003B1E3E" w:rsidRDefault="003B1E3E" w:rsidP="001C77D8">
      <w:pPr>
        <w:pStyle w:val="Prrafodelista"/>
        <w:ind w:left="0"/>
        <w:jc w:val="both"/>
        <w:rPr>
          <w:sz w:val="24"/>
          <w:szCs w:val="24"/>
        </w:rPr>
      </w:pPr>
    </w:p>
    <w:p w:rsidR="002F7648" w:rsidRDefault="00050BB6" w:rsidP="001C77D8">
      <w:pPr>
        <w:pStyle w:val="Prrafodelista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Los </w:t>
      </w:r>
      <w:r w:rsidR="003B1E3E">
        <w:rPr>
          <w:sz w:val="24"/>
          <w:szCs w:val="24"/>
        </w:rPr>
        <w:t>escenario</w:t>
      </w:r>
      <w:r>
        <w:rPr>
          <w:sz w:val="24"/>
          <w:szCs w:val="24"/>
        </w:rPr>
        <w:t>s</w:t>
      </w:r>
      <w:r w:rsidR="003B1E3E">
        <w:rPr>
          <w:sz w:val="24"/>
          <w:szCs w:val="24"/>
        </w:rPr>
        <w:t xml:space="preserve"> 1 y 2 muestran el desarrollo del proyecto considerando opciones de consulta de pertinencia y DIA, </w:t>
      </w:r>
      <w:r>
        <w:rPr>
          <w:sz w:val="24"/>
          <w:szCs w:val="24"/>
        </w:rPr>
        <w:t xml:space="preserve">dando cuenta </w:t>
      </w:r>
      <w:r w:rsidR="003B1E3E">
        <w:rPr>
          <w:sz w:val="24"/>
          <w:szCs w:val="24"/>
        </w:rPr>
        <w:t>que la ruta crítica no tiene relación con la tramitación de estos instrumentos, sino con el avance de la ingeniería de detalle y la posterior licitación y ejecución de la construcción de la URA4. En ambos escenarios la unidad entraría en operación el tercer trimestre del 2020.</w:t>
      </w:r>
      <w:r w:rsidR="002F7648">
        <w:rPr>
          <w:sz w:val="24"/>
          <w:szCs w:val="24"/>
        </w:rPr>
        <w:t xml:space="preserve"> Esta situación es más favorable que la implementación directa de la URA4 Euro Claus aprobada en la RCA 159/2003, la cual requiere de manera adicional la aprobación </w:t>
      </w:r>
      <w:r>
        <w:rPr>
          <w:sz w:val="24"/>
          <w:szCs w:val="24"/>
        </w:rPr>
        <w:t xml:space="preserve">por parte de </w:t>
      </w:r>
      <w:r w:rsidR="002F7648">
        <w:rPr>
          <w:sz w:val="24"/>
          <w:szCs w:val="24"/>
        </w:rPr>
        <w:t>los ministerios</w:t>
      </w:r>
      <w:r>
        <w:rPr>
          <w:sz w:val="24"/>
          <w:szCs w:val="24"/>
        </w:rPr>
        <w:t xml:space="preserve"> respectivos, </w:t>
      </w:r>
      <w:r w:rsidR="002F7648">
        <w:rPr>
          <w:sz w:val="24"/>
          <w:szCs w:val="24"/>
        </w:rPr>
        <w:t xml:space="preserve">del presupuesto </w:t>
      </w:r>
      <w:r>
        <w:rPr>
          <w:sz w:val="24"/>
          <w:szCs w:val="24"/>
        </w:rPr>
        <w:t xml:space="preserve">para el </w:t>
      </w:r>
      <w:r w:rsidR="002F7648">
        <w:rPr>
          <w:sz w:val="24"/>
          <w:szCs w:val="24"/>
        </w:rPr>
        <w:t>desarrollo de una ingeniería básica y su posterior desarrollo conforme se muestra en el escenario 3. De esta manera la URA4 Euro Claus estaría en operación el segundo trimestre del 2021.</w:t>
      </w:r>
    </w:p>
    <w:p w:rsidR="002F7648" w:rsidRDefault="002F7648" w:rsidP="001C77D8">
      <w:pPr>
        <w:pStyle w:val="Prrafodelista"/>
        <w:ind w:left="0"/>
        <w:jc w:val="both"/>
        <w:rPr>
          <w:sz w:val="24"/>
          <w:szCs w:val="24"/>
        </w:rPr>
      </w:pPr>
    </w:p>
    <w:p w:rsidR="00BE7CEE" w:rsidRDefault="002F7648" w:rsidP="001C77D8">
      <w:pPr>
        <w:pStyle w:val="Prrafodelista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Dado lo anterior se propone la construcción de la URA4 WSA, que es posible implementar en el menor tiempo.</w:t>
      </w:r>
    </w:p>
    <w:p w:rsidR="00BE7CEE" w:rsidRDefault="00BE7CEE" w:rsidP="00BE7CEE">
      <w:pPr>
        <w:jc w:val="both"/>
        <w:rPr>
          <w:sz w:val="24"/>
          <w:szCs w:val="24"/>
        </w:rPr>
      </w:pPr>
    </w:p>
    <w:p w:rsidR="001C77D8" w:rsidRDefault="001C77D8" w:rsidP="00BE7CEE">
      <w:pPr>
        <w:jc w:val="both"/>
        <w:rPr>
          <w:sz w:val="24"/>
          <w:szCs w:val="24"/>
        </w:rPr>
        <w:sectPr w:rsidR="001C77D8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640DCD" w:rsidRPr="00640DCD" w:rsidRDefault="001C77D8" w:rsidP="00640DCD">
      <w:pPr>
        <w:rPr>
          <w:sz w:val="24"/>
          <w:szCs w:val="24"/>
        </w:rPr>
      </w:pPr>
      <w:r>
        <w:rPr>
          <w:noProof/>
          <w:lang w:eastAsia="es-CL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1631983</wp:posOffset>
                </wp:positionH>
                <wp:positionV relativeFrom="paragraph">
                  <wp:posOffset>-435298</wp:posOffset>
                </wp:positionV>
                <wp:extent cx="4793993" cy="332990"/>
                <wp:effectExtent l="0" t="0" r="26035" b="10160"/>
                <wp:wrapNone/>
                <wp:docPr id="5" name="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3993" cy="3329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7D8" w:rsidRDefault="001C77D8" w:rsidP="001C77D8">
                            <w:pPr>
                              <w:jc w:val="center"/>
                            </w:pPr>
                            <w:r>
                              <w:t>CRONOGRAMA ALTERNATIVAS URA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5 Rectángulo" o:spid="_x0000_s1026" style="position:absolute;margin-left:128.5pt;margin-top:-34.3pt;width:377.5pt;height:26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" fillcolor="white [3201]" strokecolor="black [3200]" strokeweight="2pt">
                <v:textbox>
                  <w:txbxContent>
                    <w:p w:rsidR="001C77D8" w:rsidRDefault="001C77D8" w:rsidP="001C77D8">
                      <w:pPr>
                        <w:jc w:val="center"/>
                      </w:pPr>
                      <w:r>
                        <w:t>CRONOGRAMA ALTERNATIVAS URA 4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r w:rsidR="00BE7CEE" w:rsidRPr="00BE7CEE">
        <w:rPr>
          <w:noProof/>
          <w:lang w:eastAsia="es-CL"/>
        </w:rPr>
        <w:drawing>
          <wp:inline distT="0" distB="0" distL="0" distR="0" wp14:anchorId="17DA0D52" wp14:editId="233DC4BA">
            <wp:extent cx="8261132" cy="2396358"/>
            <wp:effectExtent l="0" t="0" r="6985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810" cy="2395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910F4" w:rsidRDefault="009910F4"/>
    <w:p w:rsidR="006127B7" w:rsidRDefault="006127B7"/>
    <w:p w:rsidR="00253ECF" w:rsidRDefault="00BE7CEE">
      <w:r w:rsidRPr="00BE7CEE">
        <w:rPr>
          <w:noProof/>
          <w:lang w:eastAsia="es-CL"/>
        </w:rPr>
        <w:drawing>
          <wp:inline distT="0" distB="0" distL="0" distR="0" wp14:anchorId="35521CCE" wp14:editId="2A27D59E">
            <wp:extent cx="8261132" cy="1939158"/>
            <wp:effectExtent l="0" t="0" r="6985" b="444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810" cy="1938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CEE" w:rsidRDefault="00BE7CEE"/>
    <w:p w:rsidR="00BE7CEE" w:rsidRDefault="00BE7CEE"/>
    <w:p w:rsidR="00BE7CEE" w:rsidRDefault="00BE7CEE">
      <w:r w:rsidRPr="00BE7CEE">
        <w:rPr>
          <w:noProof/>
          <w:lang w:eastAsia="es-CL"/>
        </w:rPr>
        <w:drawing>
          <wp:inline distT="0" distB="0" distL="0" distR="0" wp14:anchorId="1342AE75" wp14:editId="002B7DAC">
            <wp:extent cx="8244849" cy="2506717"/>
            <wp:effectExtent l="0" t="0" r="3810" b="825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810" cy="2510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7CEE" w:rsidSect="00BE7CE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2C84"/>
    <w:multiLevelType w:val="hybridMultilevel"/>
    <w:tmpl w:val="90081CC0"/>
    <w:lvl w:ilvl="0" w:tplc="3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9F49A4"/>
    <w:multiLevelType w:val="hybridMultilevel"/>
    <w:tmpl w:val="04DA76C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27E83"/>
    <w:multiLevelType w:val="hybridMultilevel"/>
    <w:tmpl w:val="C64E1E6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ECF"/>
    <w:rsid w:val="00050BB6"/>
    <w:rsid w:val="00060042"/>
    <w:rsid w:val="001C77D8"/>
    <w:rsid w:val="00206F14"/>
    <w:rsid w:val="00253ECF"/>
    <w:rsid w:val="002F7648"/>
    <w:rsid w:val="003B1E3E"/>
    <w:rsid w:val="006127B7"/>
    <w:rsid w:val="00640DCD"/>
    <w:rsid w:val="00816427"/>
    <w:rsid w:val="00901034"/>
    <w:rsid w:val="009910F4"/>
    <w:rsid w:val="00BB600D"/>
    <w:rsid w:val="00BE7CEE"/>
    <w:rsid w:val="00BF7455"/>
    <w:rsid w:val="00C73ACF"/>
    <w:rsid w:val="00ED62A4"/>
    <w:rsid w:val="00F6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40DC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E7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7CEE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050B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50B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50B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0B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0B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40DC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E7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7CEE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050B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50B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50B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0B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0B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547</Words>
  <Characters>3009</Characters>
  <Application>Microsoft Office Word</Application>
  <DocSecurity>4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 Nacional del Petroleo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Flores A., Anselmo (Enap Refinerías)</dc:creator>
  <cp:lastModifiedBy>Guzman Toro, Nelly A. ( Enap Refinerias)</cp:lastModifiedBy>
  <cp:revision>2</cp:revision>
  <dcterms:created xsi:type="dcterms:W3CDTF">2017-05-16T17:06:00Z</dcterms:created>
  <dcterms:modified xsi:type="dcterms:W3CDTF">2017-05-16T17:06:00Z</dcterms:modified>
</cp:coreProperties>
</file>